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0E" w:rsidRPr="0008010E" w:rsidRDefault="0008010E" w:rsidP="0008010E">
      <w:pPr>
        <w:pStyle w:val="Pa4"/>
        <w:jc w:val="center"/>
        <w:rPr>
          <w:rFonts w:ascii="Arial" w:hAnsi="Arial" w:cs="Arial"/>
          <w:color w:val="000000"/>
          <w:sz w:val="36"/>
          <w:szCs w:val="36"/>
        </w:rPr>
      </w:pPr>
      <w:r w:rsidRPr="0008010E">
        <w:rPr>
          <w:rFonts w:ascii="Arial" w:hAnsi="Arial" w:cs="Arial"/>
          <w:b/>
          <w:bCs/>
          <w:color w:val="000000"/>
          <w:sz w:val="36"/>
          <w:szCs w:val="36"/>
        </w:rPr>
        <w:t xml:space="preserve">Prestar atención al texto bíblico y también a la cultura </w:t>
      </w:r>
    </w:p>
    <w:p w:rsidR="0008010E" w:rsidRPr="0008010E" w:rsidRDefault="0008010E" w:rsidP="0008010E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08010E">
        <w:rPr>
          <w:rFonts w:ascii="Arial" w:hAnsi="Arial" w:cs="Arial"/>
          <w:color w:val="000000"/>
          <w:sz w:val="26"/>
          <w:szCs w:val="26"/>
        </w:rPr>
        <w:t xml:space="preserve">La contextualización es verbal y no verbal y tiene que ver con la teología, la traducción de la Biblia, la interpretación y la aplicación, en la encarnación en los estilos de vida, en el evangelismo, en la enseñanza cristiana, en la plantación de iglesias y el crecimiento; en la organización de la iglesia, en el estilo del culto y de hecho, con todas aquellas actividades que intervienen en la realización de la gran Comisión. </w:t>
      </w:r>
    </w:p>
    <w:p w:rsidR="0008010E" w:rsidRPr="0008010E" w:rsidRDefault="0008010E" w:rsidP="0008010E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08010E">
        <w:rPr>
          <w:rFonts w:ascii="Arial" w:hAnsi="Arial" w:cs="Arial"/>
          <w:color w:val="000000"/>
          <w:sz w:val="26"/>
          <w:szCs w:val="26"/>
        </w:rPr>
        <w:t xml:space="preserve">Para que la contextualización cristiana, sea auténtica tanto como efectiva, debe estar basada en prestar atención al texto bíblico y a la vez a la cultura. </w:t>
      </w:r>
    </w:p>
    <w:p w:rsidR="00E33FC9" w:rsidRPr="00540D22" w:rsidRDefault="0008010E" w:rsidP="0008010E">
      <w:pPr>
        <w:jc w:val="both"/>
        <w:rPr>
          <w:rFonts w:ascii="Arial" w:hAnsi="Arial" w:cs="Arial"/>
        </w:rPr>
      </w:pPr>
      <w:r w:rsidRPr="00540D22">
        <w:rPr>
          <w:rFonts w:ascii="Arial" w:hAnsi="Arial" w:cs="Arial"/>
          <w:bCs/>
          <w:i/>
          <w:iCs/>
          <w:color w:val="000000"/>
        </w:rPr>
        <w:t xml:space="preserve">David J. </w:t>
      </w:r>
      <w:proofErr w:type="spellStart"/>
      <w:r w:rsidRPr="00540D22">
        <w:rPr>
          <w:rFonts w:ascii="Arial" w:hAnsi="Arial" w:cs="Arial"/>
          <w:bCs/>
          <w:i/>
          <w:iCs/>
          <w:color w:val="000000"/>
        </w:rPr>
        <w:t>Hesselgrave</w:t>
      </w:r>
      <w:proofErr w:type="spellEnd"/>
      <w:r w:rsidRPr="00540D22">
        <w:rPr>
          <w:rFonts w:ascii="Arial" w:hAnsi="Arial" w:cs="Arial"/>
          <w:bCs/>
          <w:i/>
          <w:iCs/>
          <w:color w:val="000000"/>
        </w:rPr>
        <w:t>, quien sirvió en Japón y ahora es profesor de seminario</w:t>
      </w:r>
      <w:bookmarkStart w:id="0" w:name="_GoBack"/>
      <w:bookmarkEnd w:id="0"/>
    </w:p>
    <w:sectPr w:rsidR="00E33FC9" w:rsidRPr="00540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0E"/>
    <w:rsid w:val="0008010E"/>
    <w:rsid w:val="00540D22"/>
    <w:rsid w:val="00E3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338BD-9793-4EDE-B168-5C7D32C1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08010E"/>
    <w:pPr>
      <w:autoSpaceDE w:val="0"/>
      <w:autoSpaceDN w:val="0"/>
      <w:adjustRightInd w:val="0"/>
      <w:spacing w:after="0" w:line="521" w:lineRule="atLeast"/>
    </w:pPr>
    <w:rPr>
      <w:rFonts w:ascii="Myriad Pro" w:hAnsi="Myriad Pro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08010E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2017-08-07T04:11:00Z</dcterms:created>
  <dcterms:modified xsi:type="dcterms:W3CDTF">2017-08-07T04:36:00Z</dcterms:modified>
</cp:coreProperties>
</file>